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B16" w:rsidRDefault="00BD5DBA">
      <w:pPr>
        <w:tabs>
          <w:tab w:val="left" w:pos="5387"/>
        </w:tabs>
        <w:ind w:left="5387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Приложение № 1</w:t>
      </w:r>
      <w:bookmarkStart w:id="0" w:name="_GoBack"/>
      <w:bookmarkEnd w:id="0"/>
    </w:p>
    <w:p w:rsidR="00F45B16" w:rsidRDefault="00BD5DBA">
      <w:pPr>
        <w:tabs>
          <w:tab w:val="left" w:pos="5387"/>
        </w:tabs>
        <w:ind w:left="5387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УТВЕРЖДЕНЫ</w:t>
      </w:r>
    </w:p>
    <w:p w:rsidR="00F45B16" w:rsidRDefault="00BD5DBA">
      <w:pPr>
        <w:tabs>
          <w:tab w:val="left" w:pos="5387"/>
        </w:tabs>
        <w:ind w:left="5387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приказом министерства финансов Саратовской области</w:t>
      </w:r>
    </w:p>
    <w:p w:rsidR="00F45B16" w:rsidRDefault="00BD5DBA">
      <w:pPr>
        <w:tabs>
          <w:tab w:val="left" w:pos="5387"/>
        </w:tabs>
        <w:ind w:left="5387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от _____________ года № _____</w:t>
      </w:r>
    </w:p>
    <w:p w:rsidR="00F45B16" w:rsidRDefault="00F45B16">
      <w:pPr>
        <w:tabs>
          <w:tab w:val="left" w:pos="5387"/>
        </w:tabs>
        <w:ind w:left="5387"/>
        <w:rPr>
          <w:rFonts w:ascii="PT Astra Serif" w:hAnsi="PT Astra Serif" w:cs="PT Astra Serif"/>
          <w:sz w:val="28"/>
          <w:szCs w:val="28"/>
        </w:rPr>
      </w:pPr>
    </w:p>
    <w:p w:rsidR="00F45B16" w:rsidRDefault="00F45B16">
      <w:pPr>
        <w:shd w:val="clear" w:color="auto" w:fill="FFFFFF"/>
        <w:spacing w:line="228" w:lineRule="auto"/>
        <w:ind w:left="5600"/>
        <w:rPr>
          <w:rFonts w:ascii="PT Astra Serif" w:hAnsi="PT Astra Serif" w:cs="PT Astra Serif"/>
          <w:sz w:val="28"/>
          <w:szCs w:val="28"/>
        </w:rPr>
      </w:pPr>
    </w:p>
    <w:p w:rsidR="00F45B16" w:rsidRDefault="00BD5DBA">
      <w:pPr>
        <w:shd w:val="clear" w:color="auto" w:fill="FFFFFF"/>
        <w:spacing w:line="233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Указания</w:t>
      </w:r>
    </w:p>
    <w:p w:rsidR="00F45B16" w:rsidRDefault="00BD5DBA">
      <w:pPr>
        <w:shd w:val="clear" w:color="auto" w:fill="FFFFFF"/>
        <w:spacing w:line="233" w:lineRule="auto"/>
        <w:jc w:val="center"/>
        <w:rPr>
          <w:rFonts w:ascii="PT Astra Serif" w:hAnsi="PT Astra Serif" w:cs="PT Astra Serif"/>
          <w:b/>
          <w:sz w:val="28"/>
          <w:szCs w:val="28"/>
        </w:rPr>
      </w:pPr>
      <w:proofErr w:type="gramStart"/>
      <w:r>
        <w:rPr>
          <w:rFonts w:ascii="PT Astra Serif" w:hAnsi="PT Astra Serif" w:cs="PT Astra Serif"/>
          <w:b/>
          <w:spacing w:val="-6"/>
          <w:sz w:val="28"/>
          <w:szCs w:val="28"/>
        </w:rPr>
        <w:t xml:space="preserve">о порядке составления и представления </w:t>
      </w:r>
      <w:r>
        <w:rPr>
          <w:rFonts w:ascii="PT Astra Serif" w:hAnsi="PT Astra Serif" w:cs="PT Astra Serif"/>
          <w:b/>
          <w:bCs/>
          <w:spacing w:val="-6"/>
          <w:sz w:val="28"/>
          <w:szCs w:val="28"/>
        </w:rPr>
        <w:t xml:space="preserve">месячной, </w:t>
      </w:r>
      <w:r>
        <w:rPr>
          <w:rFonts w:ascii="PT Astra Serif" w:hAnsi="PT Astra Serif" w:cs="PT Astra Serif"/>
          <w:b/>
          <w:spacing w:val="-6"/>
          <w:sz w:val="28"/>
          <w:szCs w:val="28"/>
        </w:rPr>
        <w:t>квартальной бюджетной отчетности об исполнении областного бюджета</w:t>
      </w:r>
      <w:r>
        <w:rPr>
          <w:rFonts w:ascii="PT Astra Serif" w:hAnsi="PT Astra Serif" w:cs="PT Astra Serif"/>
          <w:b/>
          <w:spacing w:val="-6"/>
        </w:rPr>
        <w:t xml:space="preserve"> </w:t>
      </w:r>
      <w:r>
        <w:rPr>
          <w:rFonts w:ascii="PT Astra Serif" w:hAnsi="PT Astra Serif" w:cs="PT Astra Serif"/>
          <w:b/>
          <w:bCs/>
          <w:sz w:val="28"/>
          <w:szCs w:val="28"/>
        </w:rPr>
        <w:t>главных распорядителей, получателей средств областного бюджета, областных государственных бюджетных и автономных учреждений, осуществляющих полномочия органа государственной власти области по исполнению публичных обязательств перед физическими лицами, подлежащих исполнению в денежной форме, главных администраторов доходов и источников финансирования дефицита областного бюджета,</w:t>
      </w:r>
      <w:r>
        <w:rPr>
          <w:rFonts w:ascii="PT Astra Serif" w:hAnsi="PT Astra Serif" w:cs="PT Astra Serif"/>
          <w:b/>
          <w:sz w:val="28"/>
          <w:szCs w:val="28"/>
        </w:rPr>
        <w:t xml:space="preserve"> сводной бухгалтерской отчетности областных государственных бюджетных и автономных</w:t>
      </w:r>
      <w:proofErr w:type="gramEnd"/>
      <w:r>
        <w:rPr>
          <w:rFonts w:ascii="PT Astra Serif" w:hAnsi="PT Astra Serif" w:cs="PT Astra Serif"/>
          <w:b/>
          <w:sz w:val="28"/>
          <w:szCs w:val="28"/>
        </w:rPr>
        <w:t xml:space="preserve"> учреждений</w:t>
      </w:r>
      <w:r>
        <w:rPr>
          <w:rFonts w:ascii="PT Astra Serif" w:hAnsi="PT Astra Serif" w:cs="PT Astra Serif"/>
          <w:b/>
          <w:spacing w:val="-6"/>
          <w:sz w:val="28"/>
          <w:szCs w:val="28"/>
        </w:rPr>
        <w:t xml:space="preserve"> </w:t>
      </w:r>
    </w:p>
    <w:p w:rsidR="00F45B16" w:rsidRDefault="00F45B16">
      <w:pPr>
        <w:shd w:val="clear" w:color="auto" w:fill="FFFFFF"/>
        <w:tabs>
          <w:tab w:val="left" w:pos="1301"/>
        </w:tabs>
        <w:spacing w:line="233" w:lineRule="auto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F45B16" w:rsidRDefault="00BD5DBA">
      <w:pPr>
        <w:pStyle w:val="Standard"/>
        <w:shd w:val="clear" w:color="auto" w:fill="FFFFFF"/>
        <w:tabs>
          <w:tab w:val="left" w:pos="1301"/>
        </w:tabs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1. В составе месячной </w:t>
      </w:r>
      <w:r>
        <w:rPr>
          <w:rFonts w:ascii="PT Astra Serif" w:hAnsi="PT Astra Serif" w:cs="PT Astra Serif"/>
          <w:spacing w:val="-6"/>
          <w:sz w:val="28"/>
          <w:szCs w:val="28"/>
        </w:rPr>
        <w:t>бюджетной отчетности об исполнении областного бюджета</w:t>
      </w:r>
      <w:r>
        <w:rPr>
          <w:rFonts w:ascii="PT Astra Serif" w:hAnsi="PT Astra Serif" w:cs="PT Astra Serif"/>
          <w:sz w:val="28"/>
          <w:szCs w:val="28"/>
        </w:rPr>
        <w:t xml:space="preserve"> главных распорядителей, получателей средств областного бюджета, главных администраторов доходов и источников финансирования дефицита областного бюджета (далее – месячная бюджетная отчетность об исполнении областного бюджета)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spacing w:val="-6"/>
          <w:sz w:val="28"/>
          <w:szCs w:val="28"/>
        </w:rPr>
        <w:t>в министерство финансов области представляются следующие формы:</w:t>
      </w:r>
    </w:p>
    <w:p w:rsidR="00F45B16" w:rsidRDefault="00BD5DBA">
      <w:pPr>
        <w:pStyle w:val="Standard"/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Справка по консолидируемым расчетам (ф. 0503125) в части определения взаимосвязанных показателей по денежным расчетам;</w:t>
      </w:r>
    </w:p>
    <w:p w:rsidR="00F45B16" w:rsidRDefault="00BD5DBA">
      <w:pPr>
        <w:pStyle w:val="Standard"/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Отчет об исполнении бюджета главного распорядителя, распорядителя, получателя бюджетных средств, </w:t>
      </w:r>
      <w:r>
        <w:rPr>
          <w:rFonts w:ascii="PT Astra Serif" w:hAnsi="PT Astra Serif" w:cs="PT Astra Serif"/>
          <w:sz w:val="28"/>
          <w:szCs w:val="28"/>
        </w:rPr>
        <w:t>главного администратора, администратора источников финансирования дефицита бюджета</w:t>
      </w:r>
      <w:r>
        <w:rPr>
          <w:rFonts w:ascii="PT Astra Serif" w:hAnsi="PT Astra Serif" w:cs="PT Astra Serif"/>
          <w:bCs/>
          <w:sz w:val="28"/>
          <w:szCs w:val="28"/>
        </w:rPr>
        <w:t xml:space="preserve">, </w:t>
      </w:r>
      <w:r>
        <w:rPr>
          <w:rFonts w:ascii="PT Astra Serif" w:hAnsi="PT Astra Serif" w:cs="PT Astra Serif"/>
          <w:sz w:val="28"/>
          <w:szCs w:val="28"/>
        </w:rPr>
        <w:t>главного администратора, администратора доходов бюджета</w:t>
      </w:r>
      <w:r>
        <w:rPr>
          <w:rFonts w:ascii="PT Astra Serif" w:hAnsi="PT Astra Serif" w:cs="PT Astra Serif"/>
          <w:bCs/>
          <w:sz w:val="28"/>
          <w:szCs w:val="28"/>
        </w:rPr>
        <w:t xml:space="preserve"> (ф. 0503127)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F45B16" w:rsidRDefault="00BD5DBA">
      <w:pPr>
        <w:pStyle w:val="Standard"/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Отчет о бюджетных обязательствах (ф. 0503128-НП);</w:t>
      </w:r>
    </w:p>
    <w:p w:rsidR="00F45B16" w:rsidRDefault="00BD5DBA">
      <w:pPr>
        <w:pStyle w:val="Standard"/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Справка о суммах консолидируемых поступлений, подлежащих зачислению на счет бюджета (ф. 0503184);</w:t>
      </w:r>
    </w:p>
    <w:p w:rsidR="00F45B16" w:rsidRDefault="00BD5DBA">
      <w:pPr>
        <w:pStyle w:val="Standard"/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Справочная таблица к отчету об исполнении консолидированного бюджета субъекта Российской Федерации (ф. 0503387);</w:t>
      </w:r>
    </w:p>
    <w:p w:rsidR="00F45B16" w:rsidRDefault="00BD5DBA">
      <w:pPr>
        <w:pStyle w:val="Standard"/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Пояснительная записка (ф. 0503160).</w:t>
      </w:r>
    </w:p>
    <w:p w:rsidR="00F45B16" w:rsidRDefault="00BD5DBA">
      <w:pPr>
        <w:pStyle w:val="Standard"/>
        <w:shd w:val="clear" w:color="auto" w:fill="FFFFFF"/>
        <w:tabs>
          <w:tab w:val="left" w:pos="1301"/>
        </w:tabs>
        <w:ind w:firstLine="851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2. </w:t>
      </w:r>
      <w:proofErr w:type="gramStart"/>
      <w:r>
        <w:rPr>
          <w:rFonts w:ascii="PT Astra Serif" w:hAnsi="PT Astra Serif" w:cs="PT Astra Serif"/>
          <w:bCs/>
          <w:sz w:val="28"/>
          <w:szCs w:val="28"/>
        </w:rPr>
        <w:t xml:space="preserve">В целях раскрытия информации о ходе реализации национальных проектов (региональных проектов в составе национальных проектов) в составе месячной сводной бухгалтерской отчетности областных государственных бюджетных и автономных учреждений (далее – месячная сводная бухгалтерская отчетность), составляемой и представляемой главными распорядителями средств областного бюджета, осуществляемыми функции и полномочия учредителя в отношении областных государственных бюджетных и автономных учреждений (далее – Учредитель), в министерство </w:t>
      </w:r>
      <w:r>
        <w:rPr>
          <w:rFonts w:ascii="PT Astra Serif" w:hAnsi="PT Astra Serif" w:cs="PT Astra Serif"/>
          <w:bCs/>
          <w:sz w:val="28"/>
          <w:szCs w:val="28"/>
        </w:rPr>
        <w:lastRenderedPageBreak/>
        <w:t>финансов области представляется</w:t>
      </w:r>
      <w:proofErr w:type="gramEnd"/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proofErr w:type="gramStart"/>
      <w:r>
        <w:rPr>
          <w:rFonts w:ascii="PT Astra Serif" w:hAnsi="PT Astra Serif" w:cs="PT Astra Serif"/>
          <w:bCs/>
          <w:sz w:val="28"/>
          <w:szCs w:val="28"/>
        </w:rPr>
        <w:t xml:space="preserve">Отчет об обязательствах учреждения </w:t>
      </w:r>
      <w:hyperlink r:id="rId9" w:tooltip="consultantplus://offline/ref=954155B0F7336BE84FADE020C161F839C71E3AB2E074BBCF485D2B30B835DCC3E68237533839BD22016B81AD5C1CD4CF3D7C4B7BB7EDDDD5c7eAM" w:history="1">
        <w:r>
          <w:rPr>
            <w:rFonts w:ascii="PT Astra Serif" w:hAnsi="PT Astra Serif" w:cs="PT Astra Serif"/>
            <w:bCs/>
            <w:sz w:val="28"/>
            <w:szCs w:val="28"/>
          </w:rPr>
          <w:t>(ф. 0503738)</w:t>
        </w:r>
      </w:hyperlink>
      <w:r>
        <w:rPr>
          <w:rFonts w:ascii="PT Astra Serif" w:hAnsi="PT Astra Serif" w:cs="PT Astra Serif"/>
          <w:bCs/>
          <w:sz w:val="28"/>
          <w:szCs w:val="28"/>
        </w:rPr>
        <w:t>, содержащий данные о принятии и исполнении учреждением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(далее - Отчет (ф. 0503738-НП).</w:t>
      </w:r>
      <w:proofErr w:type="gramEnd"/>
    </w:p>
    <w:p w:rsidR="00F45B16" w:rsidRDefault="00BD5DBA">
      <w:pPr>
        <w:pStyle w:val="Standard"/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3. В </w:t>
      </w:r>
      <w:r>
        <w:rPr>
          <w:rFonts w:ascii="PT Astra Serif" w:hAnsi="PT Astra Serif" w:cs="PT Astra Serif"/>
          <w:sz w:val="28"/>
          <w:szCs w:val="28"/>
        </w:rPr>
        <w:t>составе квартальной бюджетной отчетности об исполнении областного бюджета главных распорядителей, получателей средств областного бюджета, главных администраторов доходов и источников финансирования дефицита областного бюджета (далее – квартальная бюджетная отчетность об исполнении областного бюджета) в министерство финансов области представляются следующие формы отчетности:</w:t>
      </w:r>
    </w:p>
    <w:p w:rsidR="00F45B16" w:rsidRDefault="00BD5DBA">
      <w:pPr>
        <w:pStyle w:val="ConsPlusNormal"/>
        <w:ind w:firstLine="851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Справка по консолидируемым расчетам (ф. 0503125);</w:t>
      </w:r>
    </w:p>
    <w:p w:rsidR="00F45B16" w:rsidRDefault="00BD5DBA">
      <w:pPr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Справка о суммах консолидируемых поступлений, подлежащих зачислению на счет бюджета (ф. 0503184);</w:t>
      </w:r>
    </w:p>
    <w:p w:rsidR="00F45B16" w:rsidRDefault="00BD5DBA">
      <w:pPr>
        <w:widowControl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0503127);</w:t>
      </w:r>
    </w:p>
    <w:p w:rsidR="00F45B16" w:rsidRDefault="00BD5DBA">
      <w:pPr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Отчет о бюджетных обязательствах (ф. 0503128);</w:t>
      </w:r>
    </w:p>
    <w:p w:rsidR="00F45B16" w:rsidRDefault="00BD5DBA">
      <w:pPr>
        <w:pStyle w:val="ConsPlusNormal"/>
        <w:ind w:firstLine="851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Отчет о движении денежных средств (ф. 0503123);</w:t>
      </w:r>
    </w:p>
    <w:p w:rsidR="00F45B16" w:rsidRDefault="00BD5DBA">
      <w:pPr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Пояснительная записка (ф. 0503160).</w:t>
      </w:r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4. </w:t>
      </w:r>
      <w:proofErr w:type="gramStart"/>
      <w:r>
        <w:rPr>
          <w:rFonts w:ascii="PT Astra Serif" w:hAnsi="PT Astra Serif" w:cs="PT Astra Serif"/>
          <w:sz w:val="28"/>
          <w:szCs w:val="28"/>
        </w:rPr>
        <w:t>В составе квартальной сводной бухгалтерской отчетности областных государственных бюджетных и автономных учреждений (далее –  сводная бухгалтерская отчетность), составляемой и представляемой главными распорядителями средств областного бюджета, осуществляемыми функции и полномочия учредителя в отношении областных государственных бюджетных и автономных учреждений (далее – Учредитель), в министерство финансов области представляются следующие формы отчетности:</w:t>
      </w:r>
      <w:proofErr w:type="gramEnd"/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Справка по консолидируемым расчетам учреждения </w:t>
      </w:r>
      <w:hyperlink r:id="rId10" w:tooltip="consultantplus://offline/ref=DB86B30B299982B18FAE210EFAC63D925A864DC0F7AE1060776FFE4A94DA8C11E49529FF082D9E51u8d9M" w:history="1">
        <w:r>
          <w:rPr>
            <w:rFonts w:ascii="PT Astra Serif" w:hAnsi="PT Astra Serif" w:cs="PT Astra Serif"/>
            <w:sz w:val="28"/>
            <w:szCs w:val="28"/>
          </w:rPr>
          <w:t>(ф. 0503725)</w:t>
        </w:r>
      </w:hyperlink>
      <w:r>
        <w:rPr>
          <w:rFonts w:ascii="PT Astra Serif" w:hAnsi="PT Astra Serif" w:cs="PT Astra Serif"/>
          <w:sz w:val="28"/>
          <w:szCs w:val="28"/>
        </w:rPr>
        <w:t>;</w:t>
      </w:r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Отчет об исполнении учреждением плана его финансово-хозяйственной деятельности </w:t>
      </w:r>
      <w:hyperlink r:id="rId11" w:tooltip="consultantplus://offline/main?base=LAW;n=112540;fld=134;dst=100966" w:history="1">
        <w:r>
          <w:rPr>
            <w:rFonts w:ascii="PT Astra Serif" w:hAnsi="PT Astra Serif" w:cs="PT Astra Serif"/>
            <w:sz w:val="28"/>
            <w:szCs w:val="28"/>
          </w:rPr>
          <w:t>(ф. 0503737)</w:t>
        </w:r>
      </w:hyperlink>
      <w:r>
        <w:rPr>
          <w:rFonts w:ascii="PT Astra Serif" w:hAnsi="PT Astra Serif" w:cs="PT Astra Serif"/>
          <w:sz w:val="28"/>
          <w:szCs w:val="28"/>
        </w:rPr>
        <w:t>;</w:t>
      </w:r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Отчет об обязательствах учреждения </w:t>
      </w:r>
      <w:hyperlink r:id="rId12" w:tooltip="consultantplus://offline/main?base=LAW;n=112540;fld=134;dst=101078" w:history="1">
        <w:r>
          <w:rPr>
            <w:rFonts w:ascii="PT Astra Serif" w:hAnsi="PT Astra Serif" w:cs="PT Astra Serif"/>
            <w:sz w:val="28"/>
            <w:szCs w:val="28"/>
          </w:rPr>
          <w:t>(ф. 0503738)</w:t>
        </w:r>
      </w:hyperlink>
      <w:r>
        <w:rPr>
          <w:rFonts w:ascii="PT Astra Serif" w:hAnsi="PT Astra Serif" w:cs="PT Astra Serif"/>
          <w:sz w:val="28"/>
          <w:szCs w:val="28"/>
        </w:rPr>
        <w:t>;</w:t>
      </w:r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Отчет о движении денежных средств учреждения </w:t>
      </w:r>
      <w:hyperlink r:id="rId13" w:tooltip="consultantplus://offline/main?base=LAW;n=112540;fld=134;dst=100966" w:history="1">
        <w:r>
          <w:rPr>
            <w:rFonts w:ascii="PT Astra Serif" w:hAnsi="PT Astra Serif" w:cs="PT Astra Serif"/>
            <w:sz w:val="28"/>
            <w:szCs w:val="28"/>
          </w:rPr>
          <w:t>(ф. 0503723)</w:t>
        </w:r>
      </w:hyperlink>
      <w:r>
        <w:rPr>
          <w:rFonts w:ascii="PT Astra Serif" w:hAnsi="PT Astra Serif" w:cs="PT Astra Serif"/>
          <w:sz w:val="28"/>
          <w:szCs w:val="28"/>
        </w:rPr>
        <w:t>;</w:t>
      </w:r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Пояснительная записка к Балансу учреждения </w:t>
      </w:r>
      <w:hyperlink r:id="rId14" w:tooltip="consultantplus://offline/main?base=LAW;n=112540;fld=134;dst=101094" w:history="1">
        <w:r>
          <w:rPr>
            <w:rFonts w:ascii="PT Astra Serif" w:hAnsi="PT Astra Serif" w:cs="PT Astra Serif"/>
            <w:sz w:val="28"/>
            <w:szCs w:val="28"/>
          </w:rPr>
          <w:t>(ф. 0503760)</w:t>
        </w:r>
      </w:hyperlink>
      <w:r>
        <w:rPr>
          <w:rFonts w:ascii="PT Astra Serif" w:hAnsi="PT Astra Serif" w:cs="PT Astra Serif"/>
          <w:sz w:val="28"/>
          <w:szCs w:val="28"/>
        </w:rPr>
        <w:t>.</w:t>
      </w:r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5. </w:t>
      </w:r>
      <w:proofErr w:type="gramStart"/>
      <w:r>
        <w:rPr>
          <w:rFonts w:ascii="PT Astra Serif" w:hAnsi="PT Astra Serif" w:cs="PT Astra Serif"/>
          <w:sz w:val="28"/>
          <w:szCs w:val="28"/>
        </w:rPr>
        <w:t xml:space="preserve">Месячная, квартальная бюджетная отчетность об исполнении областного бюджета и сводная бухгалтерская отчетность </w:t>
      </w:r>
      <w:r>
        <w:rPr>
          <w:rFonts w:ascii="PT Astra Serif" w:hAnsi="PT Astra Serif" w:cs="PT Astra Serif"/>
          <w:bCs/>
          <w:sz w:val="28"/>
          <w:szCs w:val="28"/>
        </w:rPr>
        <w:t xml:space="preserve">главных распорядителей, получателей средств областного бюджета, главных администраторов доходов и источников финансирования дефицита областного бюджета, Учредителя </w:t>
      </w:r>
      <w:r>
        <w:rPr>
          <w:rFonts w:ascii="PT Astra Serif" w:hAnsi="PT Astra Serif" w:cs="PT Astra Serif"/>
          <w:sz w:val="28"/>
          <w:szCs w:val="28"/>
        </w:rPr>
        <w:t>(далее – субъект отчетности) представляется в отдел бюджетного учета и отчетности управления бюджетного учета и отчетности министерства финансов области (далее – отдел бюджетного учета и отчетности) в установленные сроки на бумажном носителе и (или</w:t>
      </w:r>
      <w:proofErr w:type="gramEnd"/>
      <w:r>
        <w:rPr>
          <w:rFonts w:ascii="PT Astra Serif" w:hAnsi="PT Astra Serif" w:cs="PT Astra Serif"/>
          <w:sz w:val="28"/>
          <w:szCs w:val="28"/>
        </w:rPr>
        <w:t>) в виде электронного документа, подписанного электронной подписью, путем передачи по телекоммуникационным каналам связи.</w:t>
      </w:r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6. Субъекты бюджетной отчетности, ответственные за формирование консолидированной бюджетной отчетности по соответствующему периметру консолидации признаются субъектами консолидированной отчетности.</w:t>
      </w:r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Периметром консолидации признается перечень субъектов бюджетной отчетности, бюджетная отчетность которых подлежит включению в консолидированную бюджетную отчетность.</w:t>
      </w:r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Консолидированная бюджетная отчетность представляется в отдел бюджетного учета и отчетности в установленные сроки на бумажном носителе и (или) в виде электронного документа, подписанного усиленной квалифицированной электронной подписью руководителя, главного бухгалтера, а также формы бюджетной отчетности, содержащей плановые (прогнозные) показатели, подписью руководителя финансово-экономической службы субъекта бюджетной отчетности, ответственного за формирование консолидированной бюджетной отчетности.</w:t>
      </w:r>
      <w:proofErr w:type="gramEnd"/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7. При представлении в министерство финансов области Учредителем сводной бухгалтерской отчетности областных государственных бюджетных и автономных учреждений в электронном виде, необходимо руководствоваться действующими требованиями к форматам и способам передачи в электронном виде бухгалтерской отчетности, утвержденных Федеральным казначейством.</w:t>
      </w:r>
    </w:p>
    <w:p w:rsidR="00F45B16" w:rsidRDefault="00BD5DBA">
      <w:pPr>
        <w:widowControl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8. </w:t>
      </w:r>
      <w:proofErr w:type="gramStart"/>
      <w:r>
        <w:rPr>
          <w:rFonts w:ascii="PT Astra Serif" w:hAnsi="PT Astra Serif" w:cs="PT Astra Serif"/>
          <w:sz w:val="28"/>
          <w:szCs w:val="28"/>
        </w:rPr>
        <w:t>Отдел бюджетного учета и отчетности не позднее одного рабочего дня, следующего за днем получения бюджетной отчетности об исполнении областного бюджета, сводной бухгалтерской отчетности от субъекта отчетности, уведомляет его в электронном виде о ее получении путем формирования уведомления о получении отчетности с приложением информации о дате получения и полноте представления форм отчетности.</w:t>
      </w:r>
      <w:proofErr w:type="gramEnd"/>
    </w:p>
    <w:p w:rsidR="00F45B16" w:rsidRDefault="00BD5DBA">
      <w:pPr>
        <w:widowControl/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В случае отсутствия организационно-технической возможности у субъекта отчетности формирования бюджетной отчетности об исполнении областного бюджета, сводной бухгалтерской отчетности в виде электронного документа такая отчетность формируется на бумажном носителе и при представлении ее в отдел бюджетного учета и отчетности</w:t>
      </w:r>
      <w:r w:rsidR="00D57B23" w:rsidRPr="00D57B23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ответственный специалист отдела бюджетного учета и отчетности (далее – Куратор) делает на бумажных носителях отметку: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«Бухгалтерская отчетность принята к рассмотрению» с указанием даты, должности и расшифровки подписи Куратора.</w:t>
      </w:r>
    </w:p>
    <w:p w:rsidR="00F45B16" w:rsidRDefault="00BD5DBA">
      <w:pPr>
        <w:widowControl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9. </w:t>
      </w:r>
      <w:proofErr w:type="gramStart"/>
      <w:r>
        <w:rPr>
          <w:rFonts w:ascii="PT Astra Serif" w:hAnsi="PT Astra Serif" w:cs="PT Astra Serif"/>
          <w:sz w:val="28"/>
          <w:szCs w:val="28"/>
        </w:rPr>
        <w:t>Представленная бюджетная отчетность об исполнении областного бюджета, сводная бухгалтерская отчетность проходит проверку на соответствие требованиям к ее составлению и представлению, установленными приказами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191н), от 25 марта 2011 года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№ </w:t>
      </w:r>
      <w:proofErr w:type="gramStart"/>
      <w:r>
        <w:rPr>
          <w:rFonts w:ascii="PT Astra Serif" w:hAnsi="PT Astra Serif" w:cs="PT Astra Serif"/>
          <w:sz w:val="28"/>
          <w:szCs w:val="28"/>
        </w:rPr>
        <w:t xml:space="preserve">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</w:t>
      </w:r>
      <w:r>
        <w:rPr>
          <w:rFonts w:ascii="PT Astra Serif" w:hAnsi="PT Astra Serif" w:cs="PT Astra Serif"/>
          <w:sz w:val="28"/>
          <w:szCs w:val="28"/>
        </w:rPr>
        <w:lastRenderedPageBreak/>
        <w:t>автономных учреждений» (далее – Инструкция 33н) и настоящими Указаниями, путем выверки показателей представленной квартальной бюджетной отчетности об исполнении областного бюджета, сводной бухгалтерской отчетности по установленным соответственно Министерством финансов Российской Федерации и министерством финансов области контрольным соотношениям (далее – камеральная проверка).</w:t>
      </w:r>
      <w:proofErr w:type="gramEnd"/>
    </w:p>
    <w:p w:rsidR="00F45B16" w:rsidRDefault="00BD5DBA">
      <w:pPr>
        <w:widowControl/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10.</w:t>
      </w:r>
      <w:r>
        <w:rPr>
          <w:rFonts w:ascii="PT Astra Serif" w:hAnsi="PT Astra Serif" w:cs="PT Astra Serif"/>
          <w:sz w:val="28"/>
          <w:szCs w:val="28"/>
          <w:lang w:val="en-US"/>
        </w:rPr>
        <w:t> </w:t>
      </w:r>
      <w:proofErr w:type="gramStart"/>
      <w:r>
        <w:rPr>
          <w:rFonts w:ascii="PT Astra Serif" w:hAnsi="PT Astra Serif" w:cs="PT Astra Serif"/>
          <w:sz w:val="28"/>
          <w:szCs w:val="28"/>
        </w:rPr>
        <w:t>После выявления в ходе проведения камеральной проверки несоответствия требованиям по составлению  и представлению бюджетной отчетности об исполнении областного бюджета, сводной бухгалтерской отчетности до главного распорядителя, получателя средств областного бюджета, главного администратора доходов и источников финансирования дефицита областного бюджета, Учредителя не позднее одного рабочего дня, следующего за днем выявления несоответствия, доводится уведомление (в письменной или устной форме) о выявленных фактах нарушения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, </w:t>
      </w:r>
      <w:proofErr w:type="gramStart"/>
      <w:r>
        <w:rPr>
          <w:rFonts w:ascii="PT Astra Serif" w:hAnsi="PT Astra Serif" w:cs="PT Astra Serif"/>
          <w:sz w:val="28"/>
          <w:szCs w:val="28"/>
        </w:rPr>
        <w:t>который</w:t>
      </w:r>
      <w:proofErr w:type="gramEnd"/>
      <w:r>
        <w:rPr>
          <w:rFonts w:ascii="PT Astra Serif" w:hAnsi="PT Astra Serif" w:cs="PT Astra Serif"/>
          <w:sz w:val="28"/>
          <w:szCs w:val="28"/>
        </w:rPr>
        <w:t>, в свою очередь, обязан в течение одного рабочего дня принять меры для приведения бюджетной отчетности об исполнении областного бюджета и сводной бухгалтерской отчетности в соответствие с установленными требованиями.</w:t>
      </w:r>
    </w:p>
    <w:p w:rsidR="00F45B16" w:rsidRDefault="00BD5DBA">
      <w:pPr>
        <w:widowControl/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11. </w:t>
      </w:r>
      <w:proofErr w:type="gramStart"/>
      <w:r>
        <w:rPr>
          <w:rFonts w:ascii="PT Astra Serif" w:hAnsi="PT Astra Serif" w:cs="PT Astra Serif"/>
          <w:sz w:val="28"/>
          <w:szCs w:val="28"/>
        </w:rPr>
        <w:t>Бюджетная отчетность об исполнении областного бюджета, сводная бухгалтерская отчетность, содержащая исправления по результатам камеральной проверки, представляется главным распорядителем, получателем средств областного бюджета, главным администратором доходов и источников финансирования дефицита областного бюджета, Учредителем с сопроводительным письмом, содержащим указания о внесенных изменениях на бумажном носителе и  (или) в виде электронного документа, подписанного электронной подписью, путем передачи по телекоммуникационным каналам связи.</w:t>
      </w:r>
      <w:proofErr w:type="gramEnd"/>
    </w:p>
    <w:p w:rsidR="00F45B16" w:rsidRDefault="00BD5DBA">
      <w:pPr>
        <w:widowControl/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12. Бюджетная отчетность об исполнении областного бюджета и сводная бухгалтерская отчетность</w:t>
      </w:r>
      <w:r>
        <w:rPr>
          <w:rFonts w:ascii="PT Astra Serif" w:hAnsi="PT Astra Serif" w:cs="PT Astra Serif"/>
          <w:color w:val="000000" w:themeColor="text1"/>
          <w:sz w:val="28"/>
          <w:szCs w:val="28"/>
        </w:rPr>
        <w:t>, представленная в виде электронного документа и подписанного электронной подписью, считается принятой при изменении в программе статуса документов отчетности на «Утвержден», после чего до субъекта отчетности доводится уведомление о принятии отчетности в электронном виде.</w:t>
      </w:r>
    </w:p>
    <w:p w:rsidR="00F45B16" w:rsidRDefault="00BD5DBA">
      <w:pPr>
        <w:tabs>
          <w:tab w:val="left" w:pos="1139"/>
        </w:tabs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13.</w:t>
      </w:r>
      <w:r>
        <w:rPr>
          <w:rFonts w:ascii="PT Astra Serif" w:hAnsi="PT Astra Serif" w:cs="PT Astra Serif"/>
          <w:sz w:val="28"/>
          <w:szCs w:val="28"/>
          <w:lang w:val="en-US"/>
        </w:rPr>
        <w:t> </w:t>
      </w:r>
      <w:r>
        <w:rPr>
          <w:rFonts w:ascii="PT Astra Serif" w:hAnsi="PT Astra Serif" w:cs="PT Astra Serif"/>
          <w:sz w:val="28"/>
          <w:szCs w:val="28"/>
        </w:rPr>
        <w:t>При подготовке форм месячной и квартальной бюджетной отчетности об исполнении областного бюджета необходимо учесть следующее:</w:t>
      </w:r>
    </w:p>
    <w:p w:rsidR="00F45B16" w:rsidRDefault="00BD5DBA">
      <w:pPr>
        <w:tabs>
          <w:tab w:val="left" w:pos="1139"/>
        </w:tabs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Справка по консолидируемым расчетам</w:t>
      </w:r>
      <w:r>
        <w:rPr>
          <w:rFonts w:ascii="PT Astra Serif" w:hAnsi="PT Astra Serif" w:cs="PT Astra Serif"/>
          <w:b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ф.0503125 в составе месячной отчетности об исполнении бюджета составляется  в части определения взаимосвязанных показателей по денежным расчетам;</w:t>
      </w:r>
    </w:p>
    <w:p w:rsidR="00F45B16" w:rsidRDefault="00BD5DBA">
      <w:pPr>
        <w:tabs>
          <w:tab w:val="left" w:pos="1139"/>
        </w:tabs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Справка по консолидируемым расчетам (ф. 0503125) — по состоянию на 1 апреля, 1 июля отчетного года составляется по денежным расчетам, по состоянию на 1 октября отчетного года по денежным и </w:t>
      </w:r>
      <w:proofErr w:type="spellStart"/>
      <w:r>
        <w:rPr>
          <w:rFonts w:ascii="PT Astra Serif" w:hAnsi="PT Astra Serif" w:cs="PT Astra Serif"/>
          <w:sz w:val="28"/>
          <w:szCs w:val="28"/>
        </w:rPr>
        <w:t>неденежным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расчетам;</w:t>
      </w:r>
    </w:p>
    <w:p w:rsidR="00F45B16" w:rsidRDefault="00BD5DBA">
      <w:pPr>
        <w:tabs>
          <w:tab w:val="left" w:pos="1139"/>
        </w:tabs>
        <w:ind w:firstLine="851"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Отчет о движении денежных средств (ф. 0503123) в составе квартальной бюджетной отчетности об исполнении областного бюджета </w:t>
      </w:r>
      <w:r>
        <w:rPr>
          <w:rFonts w:ascii="PT Astra Serif" w:hAnsi="PT Astra Serif" w:cs="PT Astra Serif"/>
          <w:sz w:val="28"/>
          <w:szCs w:val="28"/>
        </w:rPr>
        <w:lastRenderedPageBreak/>
        <w:t>составляется и представляется в министерство финансов области по состоянию на 1 июля отчетного года;</w:t>
      </w:r>
    </w:p>
    <w:p w:rsidR="00F45B16" w:rsidRDefault="00BD5DBA">
      <w:pPr>
        <w:tabs>
          <w:tab w:val="left" w:pos="1139"/>
        </w:tabs>
        <w:ind w:firstLine="851"/>
        <w:jc w:val="both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Отчет о бюджетных обязательствах (ф. 0503128) в составе квартальной бюджетной отчетность об исполнении областного бюджета составляется и представляется в министерство финансов области по состоянию на 1 июля, 1 октября отчетного года;</w:t>
      </w:r>
    </w:p>
    <w:p w:rsidR="00F45B16" w:rsidRDefault="00BD5DBA">
      <w:pPr>
        <w:tabs>
          <w:tab w:val="left" w:pos="1139"/>
        </w:tabs>
        <w:ind w:firstLine="851"/>
        <w:jc w:val="both"/>
        <w:rPr>
          <w:rFonts w:ascii="PT Astra Serif" w:hAnsi="PT Astra Serif" w:cs="PT Astra Serif"/>
          <w:sz w:val="28"/>
          <w:szCs w:val="28"/>
        </w:rPr>
      </w:pPr>
      <w:bookmarkStart w:id="1" w:name="Par0"/>
      <w:bookmarkEnd w:id="1"/>
      <w:proofErr w:type="gramStart"/>
      <w:r>
        <w:rPr>
          <w:rFonts w:ascii="PT Astra Serif" w:hAnsi="PT Astra Serif" w:cs="PT Astra Serif"/>
          <w:sz w:val="28"/>
          <w:szCs w:val="28"/>
        </w:rPr>
        <w:t xml:space="preserve">В целях раскрытия информации о ходе реализации национальных проектов (региональных проектов в составе национальных проектов) главные распорядители, распорядители, получатели бюджетных средств ежемесячно дополнительно </w:t>
      </w:r>
      <w:hyperlink r:id="rId15" w:tooltip="consultantplus://offline/ref=991538840FB72D9DB8F38C667F4D50272AFEDDB46685118178F623E849A35C3AA74D149B2DE1856C130BF034219E62CDC9760C50CD670FiDF0N" w:history="1"/>
      <w:hyperlink r:id="rId16" w:tooltip="consultantplus://offline/ref=991538840FB72D9DB8F38C667F4D50272AFEDDB46685118178F623E849A35C3AA74D149B2DE18761130BF034219E62CDC9760C50CD670FiDF0N" w:history="1"/>
      <w:hyperlink r:id="rId17" w:tooltip="consultantplus://offline/ref=991538840FB72D9DB8F38C667F4D50272AFEDDB46685118178F623E849A35C3AA74D149B2DE1886C130BF034219E62CDC9760C50CD670FiDF0N" w:history="1"/>
      <w:r>
        <w:rPr>
          <w:rFonts w:ascii="PT Astra Serif" w:hAnsi="PT Astra Serif" w:cs="PT Astra Serif"/>
          <w:sz w:val="28"/>
          <w:szCs w:val="28"/>
        </w:rPr>
        <w:t xml:space="preserve"> представляют Отчет (</w:t>
      </w:r>
      <w:hyperlink w:anchor="Par0" w:tooltip="#Par0" w:history="1">
        <w:r>
          <w:rPr>
            <w:rFonts w:ascii="PT Astra Serif" w:hAnsi="PT Astra Serif" w:cs="PT Astra Serif"/>
            <w:sz w:val="28"/>
            <w:szCs w:val="28"/>
          </w:rPr>
          <w:t>ф. 0503128</w:t>
        </w:r>
      </w:hyperlink>
      <w:r>
        <w:rPr>
          <w:rFonts w:ascii="PT Astra Serif" w:hAnsi="PT Astra Serif" w:cs="PT Astra Serif"/>
          <w:sz w:val="28"/>
          <w:szCs w:val="28"/>
        </w:rPr>
        <w:t>), содержащий данные о принятии и исполнении получателями бюджетных средств бюджетных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(далее - Отчет (ф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. </w:t>
      </w:r>
      <w:proofErr w:type="gramStart"/>
      <w:r>
        <w:rPr>
          <w:rFonts w:ascii="PT Astra Serif" w:hAnsi="PT Astra Serif" w:cs="PT Astra Serif"/>
          <w:sz w:val="28"/>
          <w:szCs w:val="28"/>
        </w:rPr>
        <w:t>0503128-НП).</w:t>
      </w:r>
      <w:proofErr w:type="gramEnd"/>
    </w:p>
    <w:p w:rsidR="00F45B16" w:rsidRDefault="00BD5DBA">
      <w:pPr>
        <w:pStyle w:val="Standard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pacing w:val="-6"/>
          <w:sz w:val="28"/>
          <w:szCs w:val="28"/>
        </w:rPr>
        <w:t>Справка о суммах консолидируемых поступлений, подлежащих зачислению на счет бюджета (ф. 0503184) (далее - Справка ф. 0503184), ежемесячно составляется субъектом отчетности на основании данных:</w:t>
      </w:r>
    </w:p>
    <w:p w:rsidR="00F45B16" w:rsidRDefault="00BD5DBA">
      <w:pPr>
        <w:pStyle w:val="Standard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pacing w:val="-6"/>
          <w:sz w:val="28"/>
          <w:szCs w:val="28"/>
        </w:rPr>
        <w:t xml:space="preserve"> главным администратором доходов областного бюджета - в части поступлений межбюджетных трансфертов, возвратов неиспользованных остатков целевых межбюджетных трансфертов, а также процентов, штрафных санкций, пеней по внутренним долговым обязательствам (счета 121004151, 121004161, 121004125, 121004142);</w:t>
      </w:r>
    </w:p>
    <w:p w:rsidR="00F45B16" w:rsidRDefault="00BD5DBA">
      <w:pPr>
        <w:tabs>
          <w:tab w:val="left" w:pos="1139"/>
        </w:tabs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 администратором источников финансирования дефицита бюджета - в части поступлений по погашению бюджетных кредитов и осуществлению заимствований (счета 121004641, 121004710).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13.1 </w:t>
      </w:r>
      <w:r>
        <w:rPr>
          <w:rFonts w:ascii="PT Astra Serif" w:hAnsi="PT Astra Serif"/>
          <w:sz w:val="28"/>
          <w:szCs w:val="28"/>
        </w:rPr>
        <w:t>Пояснительная записка (ф. 0503160) включает в себя текстовую часть и составляется в разрезе следующих разделов: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Раздел 1 «Организационная структура субъекта бюджетной отчетности», включающий: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 количестве подведомственных участников бюджетного процесса, учреждений и государственных (муниципальных) унитарных предприятий (ф. 0503161), периодичность – в составе квартальной отчетности об исполнении областного бюджета;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Раздел 2 «Результаты деятельности субъекта бюджетной отчетности»;</w:t>
      </w:r>
    </w:p>
    <w:p w:rsidR="00F45B16" w:rsidRDefault="00BD5DB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Раздел 3 «Анализ отчета об исполнении бюджета субъектом бюджетной отчетности», включающий:</w:t>
      </w:r>
    </w:p>
    <w:p w:rsidR="00F45B16" w:rsidRDefault="00BD5DB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Анализ отчета об исполнении бюджета субъектом бюджетной отчетности (Таблица № 13) (далее - Таблица № 13), периодичность – в составе квартальной отчетности об исполнении областного бюджета. </w:t>
      </w:r>
    </w:p>
    <w:p w:rsidR="00F45B16" w:rsidRDefault="00BD5DBA">
      <w:pPr>
        <w:ind w:firstLine="720"/>
        <w:jc w:val="both"/>
        <w:rPr>
          <w:rFonts w:ascii="PT Astra Serif" w:hAnsi="PT Astra Serif"/>
        </w:rPr>
      </w:pPr>
      <w:r>
        <w:rPr>
          <w:rFonts w:ascii="PT Astra Serif" w:hAnsi="PT Astra Serif"/>
          <w:iCs/>
          <w:spacing w:val="-6"/>
          <w:sz w:val="28"/>
          <w:szCs w:val="28"/>
        </w:rPr>
        <w:t>В Таблице № 13 при необходимости заполняются только строки 020 «Сведения об исполнении бюджета (ф. 0503164): код «99 – иные причины» по графе 8 раздела 2» и 030 «Сведения об исполнении бюджета (ф. 0503164): по графе 8 раздела 2 несколько причин отклонения одновременно».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 xml:space="preserve">Сведения об исполнении бюджета (ф. 0503164) (далее – Сведения (ф. </w:t>
      </w:r>
      <w:r>
        <w:rPr>
          <w:rFonts w:ascii="PT Astra Serif" w:hAnsi="PT Astra Serif"/>
          <w:sz w:val="28"/>
          <w:szCs w:val="28"/>
        </w:rPr>
        <w:lastRenderedPageBreak/>
        <w:t>0503164), периодичность – в составе квартальной отчетности об исполнении областного бюджета.</w:t>
      </w:r>
      <w:proofErr w:type="gramEnd"/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составлении Сведений (ф. 0503164) необходимо учесть следующее: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Сведения (ф. 0503164) формируются путем обобщения данных по исполнению получателем бюджетных средств, администратором доходов бюджета, администратором источников финансирования дефицита бюджета, главным распорядителем областного бюджета как получателем бюджетных средств – на основании показателей Отчета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 (далее – Отчет (ф. 0503127)), сформированного</w:t>
      </w:r>
      <w:proofErr w:type="gramEnd"/>
      <w:r>
        <w:rPr>
          <w:rFonts w:ascii="PT Astra Serif" w:hAnsi="PT Astra Serif"/>
          <w:sz w:val="28"/>
          <w:szCs w:val="28"/>
        </w:rPr>
        <w:t xml:space="preserve"> на отчетную дату. </w:t>
      </w:r>
      <w:proofErr w:type="gramStart"/>
      <w:r>
        <w:rPr>
          <w:rFonts w:ascii="PT Astra Serif" w:hAnsi="PT Astra Serif"/>
          <w:sz w:val="28"/>
          <w:szCs w:val="28"/>
        </w:rPr>
        <w:t xml:space="preserve">В программном комплексе Свод Смарт для формирования показателей Сведений (ф. 0503164) на основании Отчета (ф. 0503127) необходимо использовать при </w:t>
      </w:r>
      <w:proofErr w:type="spellStart"/>
      <w:r>
        <w:rPr>
          <w:rFonts w:ascii="PT Astra Serif" w:hAnsi="PT Astra Serif"/>
          <w:sz w:val="28"/>
          <w:szCs w:val="28"/>
        </w:rPr>
        <w:t>автозаполнении</w:t>
      </w:r>
      <w:proofErr w:type="spellEnd"/>
      <w:r>
        <w:rPr>
          <w:rFonts w:ascii="PT Astra Serif" w:hAnsi="PT Astra Serif"/>
          <w:sz w:val="28"/>
          <w:szCs w:val="28"/>
        </w:rPr>
        <w:t xml:space="preserve"> группу КС № 4498;</w:t>
      </w:r>
      <w:proofErr w:type="gramEnd"/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сводные Сведения (ф. 0503164) формируются субъектами бюджетной отчетности на основании показателей Сведений (ф. 0503164), сформированных и представленных на отчетную дату распорядителями, получателями бюджетных средств, администраторами доходов бюджета, администраторами источников финансирования дефицита бюджета;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показатели раздела 1 «Доходы бюджета» формируются с детализацией кодов классификации доходов бюджетов с указанием в группе подвида доходов бюджетов нулей;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показатели раздела 3 «Источники финансирования дефицита бюджета» отражаются в структуре соответствующих </w:t>
      </w:r>
      <w:proofErr w:type="gramStart"/>
      <w:r>
        <w:rPr>
          <w:rFonts w:ascii="PT Astra Serif" w:hAnsi="PT Astra Serif"/>
          <w:sz w:val="28"/>
          <w:szCs w:val="28"/>
        </w:rPr>
        <w:t>кодов бюджетной классификации источников финансирования дефицитов бюджетов</w:t>
      </w:r>
      <w:proofErr w:type="gramEnd"/>
      <w:r>
        <w:rPr>
          <w:rFonts w:ascii="PT Astra Serif" w:hAnsi="PT Astra Serif"/>
          <w:sz w:val="28"/>
          <w:szCs w:val="28"/>
        </w:rPr>
        <w:t xml:space="preserve"> без детализации подвида источника финансирования дефицитов бюджетов;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разделе 2 «Расходы бюджета» сводных Сведений (ф. 0503164) субъектами бюджетной отчетности отражаются показатели, по которым исполнение бюджетных назначений по состоянию на 1 апреля текущего финансового года составляет менее 20%, на 1 июля текущего финансового года - менее 45%, на 1 октября текущего финансового года - менее 70%;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графы 8, 9 раздела 1 «Доходы бюджета» и раздела 3 «Источники финансирования дефицитов бюджетов» не заполняются. Факторный анализ отклонения фактического исполнения доходов бюджета от прогноза поступлений доходов в бюджет, а также анализ исполнения доходов в части непрогнозируемых главным администратором доходов и отклонения фактического </w:t>
      </w:r>
      <w:proofErr w:type="gramStart"/>
      <w:r>
        <w:rPr>
          <w:rFonts w:ascii="PT Astra Serif" w:hAnsi="PT Astra Serif"/>
          <w:sz w:val="28"/>
          <w:szCs w:val="28"/>
        </w:rPr>
        <w:t>исполнения источников финансирования дефицитов бюджетов</w:t>
      </w:r>
      <w:proofErr w:type="gramEnd"/>
      <w:r>
        <w:rPr>
          <w:rFonts w:ascii="PT Astra Serif" w:hAnsi="PT Astra Serif"/>
          <w:sz w:val="28"/>
          <w:szCs w:val="28"/>
        </w:rPr>
        <w:t xml:space="preserve"> от плановых показателей раскрывается в текстовой части Пояснительной записки (ф. 0503160);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графах 8, 9 раздела 2 «Расходы бюджета» Сведений об исполнении бюджета (ф. 0503164) отражаются соответственно код и наименования причины, повлиявшей на наличие отклонений, согласно перечню причин, установленному пунктом 163 Инструкции № 191н. 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Код причины 99 «Иные причины» применяется только в случае, если   другие причины, приведенные в указанном перечне причин,  не в полной мере характеризуют отклонения фактических показателей </w:t>
      </w:r>
      <w:proofErr w:type="gramStart"/>
      <w:r>
        <w:rPr>
          <w:rFonts w:ascii="PT Astra Serif" w:hAnsi="PT Astra Serif"/>
          <w:sz w:val="28"/>
          <w:szCs w:val="28"/>
        </w:rPr>
        <w:t>от</w:t>
      </w:r>
      <w:proofErr w:type="gramEnd"/>
      <w:r>
        <w:rPr>
          <w:rFonts w:ascii="PT Astra Serif" w:hAnsi="PT Astra Serif"/>
          <w:sz w:val="28"/>
          <w:szCs w:val="28"/>
        </w:rPr>
        <w:t xml:space="preserve"> плановых. В Таблице № 13  указывается детальное описание причин отклонений от плановых показателей.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наличия нескольких причин, повлиявших на наличие отклонений, указывается код причины, оказавшей наибольшее влияние.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Раздел 4 «Анализ показателей бухгалтерской отчетности субъекта бюджетной отчетности», включающий: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об остатках денежных средств на счетах получателя бюджетных средств (ф. 0503178) (далее – Сведения (ф. 0503178)).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программном комплексе Свод Смарт Сведения (ф. 0503178) представляются раздельно по формам: 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 0503178М_Б (бюджетная) – указываются данные по остаткам денежных средств на банковских счетах, открытых в кредитных организациях, в том числе при условии нулевых остатков денежных средств по ним на начало и конец отчетного периода;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 0503178М_</w:t>
      </w:r>
      <w:proofErr w:type="gramStart"/>
      <w:r>
        <w:rPr>
          <w:rFonts w:ascii="PT Astra Serif" w:hAnsi="PT Astra Serif"/>
          <w:sz w:val="28"/>
          <w:szCs w:val="28"/>
        </w:rPr>
        <w:t>СВ</w:t>
      </w:r>
      <w:proofErr w:type="gramEnd"/>
      <w:r>
        <w:rPr>
          <w:rFonts w:ascii="PT Astra Serif" w:hAnsi="PT Astra Serif"/>
          <w:sz w:val="28"/>
          <w:szCs w:val="28"/>
        </w:rPr>
        <w:t xml:space="preserve"> (средства во временном распоряжении) – указываются данные по остаткам  денежных средств во временном распоряжении, включая данные на счетах </w:t>
      </w:r>
      <w:proofErr w:type="spellStart"/>
      <w:r>
        <w:rPr>
          <w:rFonts w:ascii="PT Astra Serif" w:hAnsi="PT Astra Serif"/>
          <w:sz w:val="28"/>
          <w:szCs w:val="28"/>
        </w:rPr>
        <w:t>эскроу</w:t>
      </w:r>
      <w:proofErr w:type="spellEnd"/>
      <w:r>
        <w:rPr>
          <w:rFonts w:ascii="PT Astra Serif" w:hAnsi="PT Astra Serif"/>
          <w:sz w:val="28"/>
          <w:szCs w:val="28"/>
        </w:rPr>
        <w:t>;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 0503178М_Касса – указываются данные об остатках денежных сре</w:t>
      </w:r>
      <w:proofErr w:type="gramStart"/>
      <w:r>
        <w:rPr>
          <w:rFonts w:ascii="PT Astra Serif" w:hAnsi="PT Astra Serif"/>
          <w:sz w:val="28"/>
          <w:szCs w:val="28"/>
        </w:rPr>
        <w:t>дств в к</w:t>
      </w:r>
      <w:proofErr w:type="gramEnd"/>
      <w:r>
        <w:rPr>
          <w:rFonts w:ascii="PT Astra Serif" w:hAnsi="PT Astra Serif"/>
          <w:sz w:val="28"/>
          <w:szCs w:val="28"/>
        </w:rPr>
        <w:t>ассе учреждения.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Периодичность представления Сведений (ф. 0503178) – в составе месячной бюджетной отчетности об исполнении областного бюджета форма 0503178М_Б (бюджетная), в составе квартальной отчетности об исполнении областного бюджета формы 0503178М_</w:t>
      </w:r>
      <w:proofErr w:type="gramStart"/>
      <w:r>
        <w:rPr>
          <w:rFonts w:ascii="PT Astra Serif" w:hAnsi="PT Astra Serif"/>
          <w:sz w:val="28"/>
          <w:szCs w:val="28"/>
        </w:rPr>
        <w:t>СВ</w:t>
      </w:r>
      <w:proofErr w:type="gramEnd"/>
      <w:r>
        <w:rPr>
          <w:rFonts w:ascii="PT Astra Serif" w:hAnsi="PT Astra Serif"/>
          <w:sz w:val="28"/>
          <w:szCs w:val="28"/>
        </w:rPr>
        <w:t xml:space="preserve"> и 0503178М_Касса.</w:t>
      </w:r>
    </w:p>
    <w:p w:rsidR="00F45B16" w:rsidRDefault="00BD5DB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Показатели, отраженные в Сведениях (ф. 0503178), должны быть подтверждены регистрами бюджетного учета субъекта отчетности.</w:t>
      </w:r>
    </w:p>
    <w:p w:rsidR="00F45B16" w:rsidRDefault="00BD5DB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Причины увеличения просроченной задолженности (Таблица № 15) (далее - Таблица № 15), периодичность – в составе квартальной отчетности об исполнении областного бюджета за 1 полугодие и 9 месяцев отчетного года.</w:t>
      </w:r>
    </w:p>
    <w:p w:rsidR="00F45B16" w:rsidRDefault="00BD5DB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Таблице № 15 </w:t>
      </w:r>
      <w:r>
        <w:rPr>
          <w:rFonts w:ascii="PT Astra Serif" w:hAnsi="PT Astra Serif"/>
          <w:iCs/>
          <w:spacing w:val="-6"/>
          <w:sz w:val="28"/>
          <w:szCs w:val="28"/>
        </w:rPr>
        <w:t xml:space="preserve"> приводятся пояснения (причины) увеличения просроченной дебиторской (кредиторской) задолженности по сравнению с показателями за аналогичный период прошлого отчетного года</w:t>
      </w:r>
      <w:r>
        <w:rPr>
          <w:rFonts w:ascii="PT Astra Serif" w:hAnsi="PT Astra Serif"/>
          <w:sz w:val="28"/>
          <w:szCs w:val="28"/>
        </w:rPr>
        <w:t>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по дебиторской и кредиторской задолженности (ф. 0503169) (далее – Сведения (ф. 0503169)).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(ф. 0503169) формируются и представляются в министерство финансов области в составе квартальной отчетности за 1 полугодие и 9 месяцев отчетного года. 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(ф. 0503169) формируются согласно пункту                            167 Инструкции 191н, с учетом следующих особенностей: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Необходимо обеспечить соответствие кодов видов расходов и кодов аналитических счетов бюджетного учета.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графах 4, 11, 14 отражаются данные о просроченной дебиторской, </w:t>
      </w:r>
      <w:r>
        <w:rPr>
          <w:rFonts w:ascii="PT Astra Serif" w:hAnsi="PT Astra Serif"/>
          <w:sz w:val="28"/>
          <w:szCs w:val="28"/>
        </w:rPr>
        <w:lastRenderedPageBreak/>
        <w:t xml:space="preserve">кредиторской задолженности на начало года, на конец отчетного периода и на конец аналогичного отчетного периода прошлого финансового года соответственно. 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показателей в графах 3, 10, 13 отражающих информацию о долгосрочной задолженности в Сведениях (ф. 0503169) не осуществляется.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Раздел 2 Сведений (ф. 0503169) заполняется в разрезе контрагентов с указанием в графе 1 номера счетов бюджетного учета (26 знаков).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графах 3 - 4 раздела 2 отражается (в формате «ММ</w:t>
      </w:r>
      <w:proofErr w:type="gramStart"/>
      <w:r>
        <w:rPr>
          <w:rFonts w:ascii="PT Astra Serif" w:hAnsi="PT Astra Serif"/>
          <w:sz w:val="28"/>
          <w:szCs w:val="28"/>
        </w:rPr>
        <w:t>.Г</w:t>
      </w:r>
      <w:proofErr w:type="gramEnd"/>
      <w:r>
        <w:rPr>
          <w:rFonts w:ascii="PT Astra Serif" w:hAnsi="PT Astra Serif"/>
          <w:sz w:val="28"/>
          <w:szCs w:val="28"/>
        </w:rPr>
        <w:t>ГГГ») дата, соответственно, возникновения просроченной кредиторской (дебиторской) задолженности учреждения и дата ее исполнения по правовому основанию (договору, счету, нормативному правовому акту, исполнительному документу и т.п.).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графах 5, 6 указывается идентификационный номер налогоплательщика (ИНН) кредитора (дебитора), а также наименование кредитора (дебитора) соответственно. Показатели расчетов по задолженности с физическими лицами, индивидуальными предпринимателями подлежат обобщению. При этом в графе 5 указывается значение «0000000000».</w:t>
      </w:r>
    </w:p>
    <w:p w:rsidR="00F45B16" w:rsidRDefault="00BD5DB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графах 7, 8 отражаются соответственно код и наименование причины, повлиявшей на наличие просроченной дебиторской (кредиторской) задолженности.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об изменении остатков валюты баланса (ф. 0503173), периодичность – в составе квартальной отчетности об исполнении областного бюджета.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Кроме того, в текстовой части раздела 4 «Анализ показателей бухгалтерской отчетности субъекта бюджетной отчетности» Пояснительной записки (ф. 0503160) указываются: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данные по исполнению бюджета, отраженные в отчетности со знаком «минус»;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причины возникновения, меры, принятые (принимаемые) для урегулирования просроченной дебиторской, кредиторской задолженности;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 иная информация, оказавшая существенное влияние и характеризующая результаты исполнения бюджета за отчетный период.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Раздел 5 «Прочие вопросы деятельности субъекта бюджетной отчетности», включающий: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 об исполнении судебных решений по денежным обязательствам бюджета (ф. 0503296) формируются в составе квартальной отчетности.</w:t>
      </w:r>
    </w:p>
    <w:p w:rsidR="00F45B16" w:rsidRDefault="00BD5DBA">
      <w:pPr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если все показатели, предусмотренные формой бюджетной отчетности не имеют числового значения, такая форма отчетности не составляется, </w:t>
      </w:r>
      <w:proofErr w:type="gramStart"/>
      <w:r>
        <w:rPr>
          <w:rFonts w:ascii="PT Astra Serif" w:hAnsi="PT Astra Serif"/>
          <w:sz w:val="28"/>
          <w:szCs w:val="28"/>
        </w:rPr>
        <w:t>информация</w:t>
      </w:r>
      <w:proofErr w:type="gramEnd"/>
      <w:r>
        <w:rPr>
          <w:rFonts w:ascii="PT Astra Serif" w:hAnsi="PT Astra Serif"/>
          <w:sz w:val="28"/>
          <w:szCs w:val="28"/>
        </w:rPr>
        <w:t xml:space="preserve"> о чем подлежит отражению в пояснительной записке к бюджетной отчетности за отчетный период.</w:t>
      </w:r>
    </w:p>
    <w:p w:rsidR="00F45B16" w:rsidRDefault="00BD5DBA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 осуществлении формирования и (или) представления месячной бюджетной отчетности об исполнении областного бюджета средствами программных комплексов автоматизации документы месячной бюджетной </w:t>
      </w:r>
      <w:r>
        <w:rPr>
          <w:rFonts w:ascii="PT Astra Serif" w:hAnsi="PT Astra Serif"/>
          <w:sz w:val="28"/>
          <w:szCs w:val="28"/>
        </w:rPr>
        <w:lastRenderedPageBreak/>
        <w:t>отчетности об исполнении областного бюджета, не имеющие числовых значений показателей и не содержащие пояснения, формируются и представляются с указанием статуса «показатели отсутствуют».</w:t>
      </w:r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14. </w:t>
      </w:r>
      <w:r>
        <w:rPr>
          <w:rFonts w:ascii="PT Astra Serif" w:hAnsi="PT Astra Serif" w:cs="PT Astra Serif"/>
          <w:sz w:val="28"/>
          <w:szCs w:val="28"/>
        </w:rPr>
        <w:t>При подготовке форм сводной бухгалтерской отчетности необходимо учесть следующее:</w:t>
      </w:r>
    </w:p>
    <w:p w:rsidR="00F45B16" w:rsidRDefault="00BD5DBA">
      <w:pPr>
        <w:shd w:val="clear" w:color="auto" w:fill="FFFFFF"/>
        <w:ind w:firstLine="851"/>
        <w:jc w:val="both"/>
        <w:rPr>
          <w:rFonts w:ascii="PT Astra Serif" w:hAnsi="PT Astra Serif" w:cs="PT Astra Serif"/>
          <w:b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сводный Отчет о движении денежных средств учреждения </w:t>
      </w:r>
      <w:hyperlink r:id="rId18" w:tooltip="consultantplus://offline/ref=5A32A7027A50C0CFF3FCE3FD71CC964229707298FF21C52EE7363D0AAC43BF5FAF84ACAE06D2ED0ExBDAP" w:history="1">
        <w:r>
          <w:rPr>
            <w:rFonts w:ascii="PT Astra Serif" w:hAnsi="PT Astra Serif" w:cs="PT Astra Serif"/>
            <w:sz w:val="28"/>
            <w:szCs w:val="28"/>
          </w:rPr>
          <w:t>(ф. 0503723)</w:t>
        </w:r>
      </w:hyperlink>
      <w:r>
        <w:rPr>
          <w:rFonts w:ascii="PT Astra Serif" w:hAnsi="PT Astra Serif" w:cs="PT Astra Serif"/>
          <w:sz w:val="28"/>
          <w:szCs w:val="28"/>
        </w:rPr>
        <w:t xml:space="preserve"> составляется и представляется в министерство финансов Саратовской области в составе сводной бухгалтерской отчетности по состоянию на 1 июля отчетного года;</w:t>
      </w:r>
      <w:proofErr w:type="gramEnd"/>
    </w:p>
    <w:p w:rsidR="00F45B16" w:rsidRDefault="00BD5DBA">
      <w:pPr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сводный Отчет об обязательствах учреждения (ф. 0503738) составляется и представляется в министерство финансов Саратовской области в составе сводной бухгалтерской отчетности по состоянию на 1 июля и 1 октября отчетного года;</w:t>
      </w:r>
    </w:p>
    <w:p w:rsidR="00F45B16" w:rsidRDefault="00BD5DBA">
      <w:pPr>
        <w:pStyle w:val="Standard"/>
        <w:shd w:val="clear" w:color="auto" w:fill="FFFFFF"/>
        <w:tabs>
          <w:tab w:val="left" w:pos="1301"/>
        </w:tabs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сводный Отчет об обязательствах учреждения (ф. 0503738-НП)  формируется в соответствии с пунктами 48.1, 49.1 Инструкции 33н и представляется в министерство финансов ежемесячно;</w:t>
      </w:r>
    </w:p>
    <w:p w:rsidR="00F45B16" w:rsidRDefault="00BD5DBA">
      <w:pPr>
        <w:shd w:val="clear" w:color="auto" w:fill="FFFFFF"/>
        <w:ind w:firstLine="851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bCs/>
          <w:sz w:val="28"/>
          <w:szCs w:val="28"/>
        </w:rPr>
        <w:t xml:space="preserve">сводный Отчет об исполнении учреждением плана его финансово-хозяйственной деятельности (ф. 0503737) (далее - Отчет (ф. 0503737)) составляется Учредителем на основании Отчетов (ф. 0503737), представленных бюджетными и автономными учреждениями (далее – Учреждение), путем свода одноименных показателей, в разрезе видов финансового обеспечения (деятельности): </w:t>
      </w:r>
      <w:r>
        <w:rPr>
          <w:rFonts w:ascii="PT Astra Serif" w:hAnsi="PT Astra Serif" w:cs="PT Astra Serif"/>
          <w:sz w:val="28"/>
          <w:szCs w:val="28"/>
        </w:rPr>
        <w:t>приносящая доход деятельность (собственные доходы учреждения)</w:t>
      </w:r>
      <w:r>
        <w:rPr>
          <w:rFonts w:ascii="PT Astra Serif" w:hAnsi="PT Astra Serif" w:cs="PT Astra Serif"/>
          <w:bCs/>
          <w:sz w:val="28"/>
          <w:szCs w:val="28"/>
        </w:rPr>
        <w:t xml:space="preserve"> (код вида – 2), </w:t>
      </w:r>
      <w:r>
        <w:rPr>
          <w:rFonts w:ascii="PT Astra Serif" w:hAnsi="PT Astra Serif" w:cs="PT Astra Serif"/>
          <w:sz w:val="28"/>
          <w:szCs w:val="28"/>
        </w:rPr>
        <w:t>субсидии на выполнение государственного (муниципального) задания</w:t>
      </w:r>
      <w:r>
        <w:rPr>
          <w:rFonts w:ascii="PT Astra Serif" w:hAnsi="PT Astra Serif" w:cs="PT Astra Serif"/>
          <w:bCs/>
          <w:sz w:val="28"/>
          <w:szCs w:val="28"/>
        </w:rPr>
        <w:t xml:space="preserve"> (код вида – 4), субсидии на иные</w:t>
      </w:r>
      <w:proofErr w:type="gramEnd"/>
      <w:r>
        <w:rPr>
          <w:rFonts w:ascii="PT Astra Serif" w:hAnsi="PT Astra Serif" w:cs="PT Astra Serif"/>
          <w:bCs/>
          <w:sz w:val="28"/>
          <w:szCs w:val="28"/>
        </w:rPr>
        <w:t xml:space="preserve"> цели (код вида – 5), </w:t>
      </w:r>
      <w:r>
        <w:rPr>
          <w:rFonts w:ascii="PT Astra Serif" w:hAnsi="PT Astra Serif" w:cs="PT Astra Serif"/>
          <w:sz w:val="28"/>
          <w:szCs w:val="28"/>
        </w:rPr>
        <w:t>субсидии на цели осуществления капитальных вложений</w:t>
      </w:r>
      <w:r>
        <w:rPr>
          <w:rFonts w:ascii="PT Astra Serif" w:hAnsi="PT Astra Serif" w:cs="PT Astra Serif"/>
          <w:bCs/>
          <w:sz w:val="28"/>
          <w:szCs w:val="28"/>
        </w:rPr>
        <w:t xml:space="preserve"> (код вида – 6), средства по обязательному медицинскому страхованию (код вида – 7);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14.1 Пояснительная записка к Балансу учреждения (ф. 0503760) оформляется Учредителем и включает в себя текстовую часть, составляется в разрезе следующих разделов: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Раздел 1 «Организационная структура учреждения;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Раздел 2 «Результаты деятельности учреждения»;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Раздел 3 «Анализ отчета об исполнении учреждением плана его деятельности»;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Раздел 4 «Анализ показателей отчетности учреждения», включающий: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Сведения об исполнении судебных решений по денежным обязательствам учреждения (ф. 0503295) формируется в составе квартальной отчетности.</w:t>
      </w:r>
    </w:p>
    <w:p w:rsidR="00F45B16" w:rsidRDefault="00BD5DBA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Причины увеличения просроченной задолженности (Таблица № 11) (далее - Таблица № 11), периодичность представления в составе квартальной отчетности за 1 полугодие и 9 месяцев отчетного года.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Таблице № 11 отражается информация о причинах увеличения просроченной задолженности, показатели которой отражены в графе 11 раздела 1 Сведений по дебиторской и кредиторской задолженности учреждения (ф. 0503769).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lastRenderedPageBreak/>
        <w:t>Сведения по дебиторской и кредиторской задолженности учреждения (ф. 0503769) (далее – (Сведения (ф. 0503769)) формируются и представляются в министерство финансов области в составе квартальной отчетности за 1 полугодие и 9 месяцев отчетного года.</w:t>
      </w:r>
      <w:proofErr w:type="gramEnd"/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Сведения (ф. 0503769) формируются в порядке, установленном пунктом 69 Инструкции 33н, с учетом следующих особенностей: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Сведения (ф. 0503769) составляются раздельно по видам финансового обеспечения (деятельности): собственные доходы учреждения, субсидии на выполнение государственного (муниципального) задания, субсидии на иные цели, субсидии на цели осуществления капитальных вложений; средства по обязательному медицинскому страхованию, а также отдельно по дебиторской и отдельно по кредиторской задолженности.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 графе 1 «Номер счета бухгалтерского учета» раздела 1 Сведений 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(ф. 0503769) в 1 – 4 разрядах номера счета бухгалтерского учета указываются код раздела, подраздела, 5 – 14 разрядах номера счета бухгалтерского учета указываются нули, в 15 – 17 разрядах указываются: код аналитической группы по доходам; код ВР по расходам, в 18 – 26 разрядах указываются номера соответствующих аналитических счетов, отражающих показатели расчетов.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графах 3 - 4 раздела 2 Сведений (ф. 0503769) отражается (в формате «ММ</w:t>
      </w:r>
      <w:proofErr w:type="gramStart"/>
      <w:r>
        <w:rPr>
          <w:rFonts w:ascii="PT Astra Serif" w:hAnsi="PT Astra Serif" w:cs="PT Astra Serif"/>
          <w:sz w:val="28"/>
          <w:szCs w:val="28"/>
        </w:rPr>
        <w:t>.Г</w:t>
      </w:r>
      <w:proofErr w:type="gramEnd"/>
      <w:r>
        <w:rPr>
          <w:rFonts w:ascii="PT Astra Serif" w:hAnsi="PT Astra Serif" w:cs="PT Astra Serif"/>
          <w:sz w:val="28"/>
          <w:szCs w:val="28"/>
        </w:rPr>
        <w:t>ГГГ») дата, соответственно, возникновения просроченной кредиторской (дебиторской) задолженности учреждения и дата ее исполнения по правовому основанию (договору, счету, нормативному правовому акту, исполнительному документу и т.п.).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графах 5, 6 указывается идентификационный номер налогоплательщика (ИНН) кредитора (дебитора), а также наименование кредитора (дебитора) соответственно. В случае</w:t>
      </w:r>
      <w:proofErr w:type="gramStart"/>
      <w:r>
        <w:rPr>
          <w:rFonts w:ascii="PT Astra Serif" w:hAnsi="PT Astra Serif" w:cs="PT Astra Serif"/>
          <w:sz w:val="28"/>
          <w:szCs w:val="28"/>
        </w:rPr>
        <w:t>,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если кредитором (дебитором) является физическое лицо, в графе 5 подлежит указанию значение «0000000000».</w:t>
      </w:r>
    </w:p>
    <w:p w:rsidR="00F45B16" w:rsidRDefault="00BD5DBA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графах 7, 8 отражаются соответственно код и наименование причины, повлиявшей на наличие просроченной дебиторской (кредиторской) задолженности.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Сведения об изменении остатков валюты баланса учреждения (ф. 0503773).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Сведения об остатках денежных средств учреждения (ф. 0503779);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Раздел 5 «Прочие вопросы деятельности учреждения».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Кроме того, в текстовой части Пояснительной записки к Балансу учреждения (ф. 0503760) описываются: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 причины возникновения, меры, принятые (принимаемые) для урегулирования просроченной дебиторской, кредиторской задолженности;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 показатели расчетов в части некассовых операций по исполнению плана финансово-хозяйственной деятельности (сметы доходов и расходов) учреждения;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в) показатели расчетов в части полученных субсидий из областного бюджета не соответствующие расходам органов, уполномоченных на </w:t>
      </w:r>
      <w:r>
        <w:rPr>
          <w:rFonts w:ascii="PT Astra Serif" w:hAnsi="PT Astra Serif" w:cs="PT Astra Serif"/>
          <w:sz w:val="28"/>
          <w:szCs w:val="28"/>
        </w:rPr>
        <w:lastRenderedPageBreak/>
        <w:t>осуществление функций и полномочий Учредителя;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г) исполнение плановых назначений по доходам и расходам учреждения, отраженные в отчетности со знаком «минус»;</w:t>
      </w:r>
    </w:p>
    <w:p w:rsidR="00F45B16" w:rsidRDefault="00BD5DBA" w:rsidP="00D57B23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д) показатели изменения расчетов по привлечению денежных средств учреждения от иных видов финансового обеспечения (деятельности) при исполнении плана финансово-хозяйственной деятельности в пределах остатка собственных средств учреждения обязательств (денежных обязательств);</w:t>
      </w:r>
    </w:p>
    <w:p w:rsidR="00F45B16" w:rsidRDefault="00BD5DBA">
      <w:pPr>
        <w:ind w:firstLine="851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е) иная информация, оказавшая существенное влияние на результаты деятельности учреждения за отчетный период и характеризующая показатели сводной бухгалтерской отчетности.</w:t>
      </w:r>
    </w:p>
    <w:sectPr w:rsidR="00F45B16">
      <w:headerReference w:type="even" r:id="rId19"/>
      <w:headerReference w:type="default" r:id="rId20"/>
      <w:pgSz w:w="11906" w:h="16838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B16" w:rsidRDefault="00BD5DBA">
      <w:r>
        <w:separator/>
      </w:r>
    </w:p>
  </w:endnote>
  <w:endnote w:type="continuationSeparator" w:id="0">
    <w:p w:rsidR="00F45B16" w:rsidRDefault="00BD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B16" w:rsidRDefault="00BD5DBA">
      <w:r>
        <w:separator/>
      </w:r>
    </w:p>
  </w:footnote>
  <w:footnote w:type="continuationSeparator" w:id="0">
    <w:p w:rsidR="00F45B16" w:rsidRDefault="00BD5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B16" w:rsidRDefault="00BD5DBA">
    <w:pPr>
      <w:pStyle w:val="ab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F45B16" w:rsidRDefault="00F45B1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B16" w:rsidRDefault="00BD5DBA">
    <w:pPr>
      <w:pStyle w:val="ab"/>
      <w:framePr w:wrap="around" w:vAnchor="text" w:hAnchor="margin" w:xAlign="center" w:y="1"/>
      <w:rPr>
        <w:rStyle w:val="af9"/>
        <w:sz w:val="24"/>
        <w:szCs w:val="24"/>
      </w:rPr>
    </w:pPr>
    <w:r>
      <w:rPr>
        <w:rStyle w:val="af9"/>
        <w:sz w:val="24"/>
        <w:szCs w:val="24"/>
      </w:rPr>
      <w:fldChar w:fldCharType="begin"/>
    </w:r>
    <w:r>
      <w:rPr>
        <w:rStyle w:val="af9"/>
        <w:sz w:val="24"/>
        <w:szCs w:val="24"/>
      </w:rPr>
      <w:instrText xml:space="preserve">PAGE  </w:instrText>
    </w:r>
    <w:r>
      <w:rPr>
        <w:rStyle w:val="af9"/>
        <w:sz w:val="24"/>
        <w:szCs w:val="24"/>
      </w:rPr>
      <w:fldChar w:fldCharType="separate"/>
    </w:r>
    <w:r w:rsidR="00353739">
      <w:rPr>
        <w:rStyle w:val="af9"/>
        <w:noProof/>
        <w:sz w:val="24"/>
        <w:szCs w:val="24"/>
      </w:rPr>
      <w:t>11</w:t>
    </w:r>
    <w:r>
      <w:rPr>
        <w:rStyle w:val="af9"/>
        <w:sz w:val="24"/>
        <w:szCs w:val="24"/>
      </w:rPr>
      <w:fldChar w:fldCharType="end"/>
    </w:r>
  </w:p>
  <w:p w:rsidR="00F45B16" w:rsidRDefault="00F45B1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334F3"/>
    <w:multiLevelType w:val="hybridMultilevel"/>
    <w:tmpl w:val="29DE6CAE"/>
    <w:lvl w:ilvl="0" w:tplc="B808C36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DF4E1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736EF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47494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B4E3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28A50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9CCFB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B20D3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6841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37A91309"/>
    <w:multiLevelType w:val="hybridMultilevel"/>
    <w:tmpl w:val="F9EEAFDA"/>
    <w:lvl w:ilvl="0" w:tplc="BDDE7A74">
      <w:start w:val="1"/>
      <w:numFmt w:val="decimal"/>
      <w:lvlText w:val="%1."/>
      <w:lvlJc w:val="left"/>
      <w:pPr>
        <w:tabs>
          <w:tab w:val="num" w:pos="6240"/>
        </w:tabs>
        <w:ind w:left="6240" w:hanging="360"/>
      </w:pPr>
      <w:rPr>
        <w:rFonts w:hint="default"/>
        <w:b w:val="0"/>
      </w:rPr>
    </w:lvl>
    <w:lvl w:ilvl="1" w:tplc="343C3C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AF4F0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1FA49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842D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A0D7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820F7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7648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F30B4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425157AE"/>
    <w:multiLevelType w:val="hybridMultilevel"/>
    <w:tmpl w:val="1122AC7A"/>
    <w:lvl w:ilvl="0" w:tplc="5C9C3548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9AD2D3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88DD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B8F7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E2C3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CE07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EED1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98D0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448B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B16"/>
    <w:rsid w:val="00353739"/>
    <w:rsid w:val="00BD5DBA"/>
    <w:rsid w:val="00D57B23"/>
    <w:rsid w:val="00F4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character" w:styleId="af9">
    <w:name w:val="page number"/>
    <w:basedOn w:val="a0"/>
  </w:style>
  <w:style w:type="paragraph" w:styleId="afa">
    <w:name w:val="Block Text"/>
    <w:basedOn w:val="a"/>
    <w:pPr>
      <w:widowControl/>
      <w:spacing w:line="360" w:lineRule="auto"/>
      <w:ind w:left="567" w:right="424" w:firstLine="567"/>
      <w:jc w:val="both"/>
    </w:pPr>
    <w:rPr>
      <w:sz w:val="28"/>
    </w:rPr>
  </w:style>
  <w:style w:type="paragraph" w:styleId="afb">
    <w:name w:val="Body Text Indent"/>
    <w:basedOn w:val="a"/>
    <w:pPr>
      <w:widowControl/>
      <w:ind w:firstLine="709"/>
      <w:jc w:val="both"/>
    </w:pPr>
    <w:rPr>
      <w:sz w:val="28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customStyle="1" w:styleId="afd">
    <w:name w:val="Знак Знак Знак"/>
    <w:basedOn w:val="a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Pr>
      <w:sz w:val="28"/>
      <w:szCs w:val="28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character" w:styleId="af9">
    <w:name w:val="page number"/>
    <w:basedOn w:val="a0"/>
  </w:style>
  <w:style w:type="paragraph" w:styleId="afa">
    <w:name w:val="Block Text"/>
    <w:basedOn w:val="a"/>
    <w:pPr>
      <w:widowControl/>
      <w:spacing w:line="360" w:lineRule="auto"/>
      <w:ind w:left="567" w:right="424" w:firstLine="567"/>
      <w:jc w:val="both"/>
    </w:pPr>
    <w:rPr>
      <w:sz w:val="28"/>
    </w:rPr>
  </w:style>
  <w:style w:type="paragraph" w:styleId="afb">
    <w:name w:val="Body Text Indent"/>
    <w:basedOn w:val="a"/>
    <w:pPr>
      <w:widowControl/>
      <w:ind w:firstLine="709"/>
      <w:jc w:val="both"/>
    </w:pPr>
    <w:rPr>
      <w:sz w:val="28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customStyle="1" w:styleId="afd">
    <w:name w:val="Знак Знак Знак"/>
    <w:basedOn w:val="a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Pr>
      <w:sz w:val="28"/>
      <w:szCs w:val="28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2540;fld=134;dst=100966" TargetMode="External"/><Relationship Id="rId18" Type="http://schemas.openxmlformats.org/officeDocument/2006/relationships/hyperlink" Target="consultantplus://offline/ref=5A32A7027A50C0CFF3FCE3FD71CC964229707298FF21C52EE7363D0AAC43BF5FAF84ACAE06D2ED0ExBDA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112540;fld=134;dst=101078" TargetMode="External"/><Relationship Id="rId17" Type="http://schemas.openxmlformats.org/officeDocument/2006/relationships/hyperlink" Target="consultantplus://offline/ref=991538840FB72D9DB8F38C667F4D50272AFEDDB46685118178F623E849A35C3AA74D149B2DE1886C130BF034219E62CDC9760C50CD670FiDF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91538840FB72D9DB8F38C667F4D50272AFEDDB46685118178F623E849A35C3AA74D149B2DE18761130BF034219E62CDC9760C50CD670FiDF0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12540;fld=134;dst=100966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91538840FB72D9DB8F38C667F4D50272AFEDDB46685118178F623E849A35C3AA74D149B2DE1856C130BF034219E62CDC9760C50CD670FiDF0N" TargetMode="External"/><Relationship Id="rId10" Type="http://schemas.openxmlformats.org/officeDocument/2006/relationships/hyperlink" Target="consultantplus://offline/ref=DB86B30B299982B18FAE210EFAC63D925A864DC0F7AE1060776FFE4A94DA8C11E49529FF082D9E51u8d9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4155B0F7336BE84FADE020C161F839C71E3AB2E074BBCF485D2B30B835DCC3E68237533839BD22016B81AD5C1CD4CF3D7C4B7BB7EDDDD5c7eAM" TargetMode="External"/><Relationship Id="rId14" Type="http://schemas.openxmlformats.org/officeDocument/2006/relationships/hyperlink" Target="consultantplus://offline/main?base=LAW;n=112540;fld=134;dst=10109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B4BB4-3AD9-4488-A8C4-1321F862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4341</Words>
  <Characters>24745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министерства финансов Саратовской области от</vt:lpstr>
    </vt:vector>
  </TitlesOfParts>
  <Company>Министерство финансов Саратовской области</Company>
  <LinksUpToDate>false</LinksUpToDate>
  <CharactersWithSpaces>29028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министерства финансов Саратовской области от</dc:title>
  <dc:creator>Уполовникова С.Г.</dc:creator>
  <cp:lastModifiedBy>Петрухина Наталья Александровна</cp:lastModifiedBy>
  <cp:revision>13</cp:revision>
  <cp:lastPrinted>2024-12-02T13:18:00Z</cp:lastPrinted>
  <dcterms:created xsi:type="dcterms:W3CDTF">2020-01-16T11:09:00Z</dcterms:created>
  <dcterms:modified xsi:type="dcterms:W3CDTF">2024-11-22T12:50:00Z</dcterms:modified>
</cp:coreProperties>
</file>